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0" w:type="dxa"/>
        <w:tblInd w:w="468" w:type="dxa"/>
        <w:tblLook w:val="0000"/>
      </w:tblPr>
      <w:tblGrid>
        <w:gridCol w:w="9276"/>
        <w:gridCol w:w="254"/>
      </w:tblGrid>
      <w:tr w:rsidR="00DA4332" w:rsidRPr="00E37FE1" w:rsidTr="00E8296B">
        <w:trPr>
          <w:trHeight w:val="1437"/>
        </w:trPr>
        <w:tc>
          <w:tcPr>
            <w:tcW w:w="3789" w:type="dxa"/>
          </w:tcPr>
          <w:p w:rsidR="00DA4332" w:rsidRPr="00E37FE1" w:rsidRDefault="00DA4332" w:rsidP="00E8296B">
            <w:pPr>
              <w:rPr>
                <w:rFonts w:ascii="Century Gothic" w:hAnsi="Century Gothic"/>
                <w:color w:val="1D1B11"/>
                <w:sz w:val="20"/>
              </w:rPr>
            </w:pPr>
            <w:r>
              <w:rPr>
                <w:rFonts w:ascii="Century Gothic" w:hAnsi="Century Gothic"/>
                <w:noProof/>
                <w:color w:val="1D1B11"/>
                <w:sz w:val="20"/>
              </w:rPr>
              <w:drawing>
                <wp:inline distT="0" distB="0" distL="0" distR="0">
                  <wp:extent cx="5730240" cy="701040"/>
                  <wp:effectExtent l="19050" t="0" r="3810" b="0"/>
                  <wp:docPr id="2" name="Picture 9" descr="\\ad.uws.edu.au\dfshare\HomesK-W$\h8848945\My Documents\2014 web\HD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uws.edu.au\dfshare\HomesK-W$\h8848945\My Documents\2014 web\HDR banner.jpg"/>
                          <pic:cNvPicPr>
                            <a:picLocks noChangeAspect="1" noChangeArrowheads="1"/>
                          </pic:cNvPicPr>
                        </pic:nvPicPr>
                        <pic:blipFill>
                          <a:blip r:embed="rId5" cstate="print"/>
                          <a:srcRect/>
                          <a:stretch>
                            <a:fillRect/>
                          </a:stretch>
                        </pic:blipFill>
                        <pic:spPr bwMode="auto">
                          <a:xfrm>
                            <a:off x="0" y="0"/>
                            <a:ext cx="5730240" cy="701040"/>
                          </a:xfrm>
                          <a:prstGeom prst="rect">
                            <a:avLst/>
                          </a:prstGeom>
                          <a:noFill/>
                          <a:ln w="9525">
                            <a:noFill/>
                            <a:miter lim="800000"/>
                            <a:headEnd/>
                            <a:tailEnd/>
                          </a:ln>
                        </pic:spPr>
                      </pic:pic>
                    </a:graphicData>
                  </a:graphic>
                </wp:inline>
              </w:drawing>
            </w:r>
          </w:p>
        </w:tc>
        <w:tc>
          <w:tcPr>
            <w:tcW w:w="5741" w:type="dxa"/>
          </w:tcPr>
          <w:p w:rsidR="00DA4332" w:rsidRPr="00E37FE1" w:rsidRDefault="00DA4332" w:rsidP="00E8296B">
            <w:pPr>
              <w:rPr>
                <w:rFonts w:ascii="Century Gothic" w:hAnsi="Century Gothic"/>
                <w:color w:val="1D1B11"/>
                <w:sz w:val="20"/>
              </w:rPr>
            </w:pPr>
            <w:r>
              <w:rPr>
                <w:rFonts w:ascii="Century Gothic" w:hAnsi="Century Gothic"/>
                <w:noProof/>
                <w:color w:val="1D1B11"/>
                <w:sz w:val="20"/>
              </w:rPr>
              <w:drawing>
                <wp:anchor distT="0" distB="0" distL="114300" distR="114300" simplePos="0" relativeHeight="251660288" behindDoc="1" locked="0" layoutInCell="1" allowOverlap="1">
                  <wp:simplePos x="0" y="0"/>
                  <wp:positionH relativeFrom="column">
                    <wp:posOffset>1760220</wp:posOffset>
                  </wp:positionH>
                  <wp:positionV relativeFrom="paragraph">
                    <wp:posOffset>-28575</wp:posOffset>
                  </wp:positionV>
                  <wp:extent cx="1931670" cy="1047750"/>
                  <wp:effectExtent l="19050" t="0" r="0" b="0"/>
                  <wp:wrapNone/>
                  <wp:docPr id="3" name="Picture 2" descr="uws_v02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s_v02_large"/>
                          <pic:cNvPicPr>
                            <a:picLocks noChangeAspect="1" noChangeArrowheads="1"/>
                          </pic:cNvPicPr>
                        </pic:nvPicPr>
                        <pic:blipFill>
                          <a:blip r:embed="rId6" cstate="print"/>
                          <a:srcRect/>
                          <a:stretch>
                            <a:fillRect/>
                          </a:stretch>
                        </pic:blipFill>
                        <pic:spPr bwMode="auto">
                          <a:xfrm>
                            <a:off x="0" y="0"/>
                            <a:ext cx="1931670" cy="1047750"/>
                          </a:xfrm>
                          <a:prstGeom prst="rect">
                            <a:avLst/>
                          </a:prstGeom>
                          <a:noFill/>
                          <a:ln w="9525">
                            <a:noFill/>
                            <a:miter lim="800000"/>
                            <a:headEnd/>
                            <a:tailEnd/>
                          </a:ln>
                        </pic:spPr>
                      </pic:pic>
                    </a:graphicData>
                  </a:graphic>
                </wp:anchor>
              </w:drawing>
            </w:r>
          </w:p>
          <w:p w:rsidR="00DA4332" w:rsidRPr="00E37FE1" w:rsidRDefault="00DA4332" w:rsidP="00E8296B">
            <w:pPr>
              <w:rPr>
                <w:rFonts w:ascii="Century Gothic" w:hAnsi="Century Gothic"/>
                <w:color w:val="1D1B11"/>
                <w:sz w:val="20"/>
              </w:rPr>
            </w:pPr>
          </w:p>
        </w:tc>
      </w:tr>
    </w:tbl>
    <w:p w:rsidR="00D45329" w:rsidRDefault="009C4242">
      <w:pPr>
        <w:autoSpaceDE w:val="0"/>
        <w:autoSpaceDN w:val="0"/>
        <w:jc w:val="center"/>
        <w:rPr>
          <w:rFonts w:ascii="Arial" w:hAnsi="Arial" w:cs="Arial"/>
          <w:b/>
          <w:color w:val="1D1B11" w:themeColor="background2" w:themeShade="1A"/>
          <w:sz w:val="20"/>
          <w:szCs w:val="20"/>
        </w:rPr>
      </w:pPr>
      <w:r w:rsidRPr="009C4242">
        <w:rPr>
          <w:rFonts w:ascii="Arial" w:hAnsi="Arial" w:cs="Arial"/>
          <w:b/>
          <w:color w:val="1D1B11" w:themeColor="background2" w:themeShade="1A"/>
          <w:sz w:val="20"/>
          <w:szCs w:val="20"/>
        </w:rPr>
        <w:t>Confirmation of Candidature</w:t>
      </w:r>
      <w:r w:rsidR="006869A8">
        <w:rPr>
          <w:rFonts w:ascii="Arial" w:hAnsi="Arial" w:cs="Arial"/>
          <w:b/>
          <w:color w:val="1D1B11" w:themeColor="background2" w:themeShade="1A"/>
          <w:sz w:val="20"/>
          <w:szCs w:val="20"/>
        </w:rPr>
        <w:t xml:space="preserve">: </w:t>
      </w:r>
      <w:r w:rsidR="006869A8">
        <w:rPr>
          <w:rFonts w:ascii="Arial" w:hAnsi="Arial" w:cs="Arial"/>
          <w:b/>
          <w:color w:val="1D1B11" w:themeColor="background2" w:themeShade="1A"/>
          <w:sz w:val="20"/>
          <w:szCs w:val="20"/>
        </w:rPr>
        <w:br/>
        <w:t xml:space="preserve">Research Integrity, Research </w:t>
      </w:r>
      <w:r w:rsidRPr="009C4242">
        <w:rPr>
          <w:rFonts w:ascii="Arial" w:hAnsi="Arial" w:cs="Arial"/>
          <w:b/>
          <w:color w:val="1D1B11" w:themeColor="background2" w:themeShade="1A"/>
          <w:sz w:val="20"/>
          <w:szCs w:val="20"/>
        </w:rPr>
        <w:t xml:space="preserve">Merit and </w:t>
      </w:r>
      <w:r w:rsidR="006869A8">
        <w:rPr>
          <w:rFonts w:ascii="Arial" w:hAnsi="Arial" w:cs="Arial"/>
          <w:b/>
          <w:color w:val="1D1B11" w:themeColor="background2" w:themeShade="1A"/>
          <w:sz w:val="20"/>
          <w:szCs w:val="20"/>
        </w:rPr>
        <w:t>Research Ethics</w:t>
      </w:r>
      <w:r w:rsidRPr="009C4242">
        <w:rPr>
          <w:rFonts w:ascii="Arial" w:hAnsi="Arial" w:cs="Arial"/>
          <w:b/>
          <w:color w:val="1D1B11" w:themeColor="background2" w:themeShade="1A"/>
          <w:sz w:val="20"/>
          <w:szCs w:val="20"/>
        </w:rPr>
        <w:t xml:space="preserve"> Assessment</w:t>
      </w:r>
    </w:p>
    <w:p w:rsidR="009C4242" w:rsidRDefault="009C4242" w:rsidP="009C4242">
      <w:pPr>
        <w:autoSpaceDE w:val="0"/>
        <w:autoSpaceDN w:val="0"/>
        <w:rPr>
          <w:rFonts w:ascii="Arial" w:hAnsi="Arial" w:cs="Arial"/>
          <w:b/>
          <w:color w:val="1D1B11" w:themeColor="background2" w:themeShade="1A"/>
          <w:sz w:val="20"/>
          <w:szCs w:val="20"/>
        </w:rPr>
      </w:pPr>
    </w:p>
    <w:p w:rsidR="00D45329" w:rsidRDefault="000128E4">
      <w:pPr>
        <w:pBdr>
          <w:top w:val="single" w:sz="4" w:space="1" w:color="auto"/>
          <w:left w:val="single" w:sz="4" w:space="4" w:color="auto"/>
          <w:bottom w:val="single" w:sz="4" w:space="1" w:color="auto"/>
          <w:right w:val="single" w:sz="4" w:space="4" w:color="auto"/>
        </w:pBd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1) </w:t>
      </w:r>
      <w:r w:rsidR="00972C48" w:rsidRPr="00972C48">
        <w:rPr>
          <w:rFonts w:ascii="Arial" w:hAnsi="Arial" w:cs="Arial"/>
          <w:color w:val="1D1B11" w:themeColor="background2" w:themeShade="1A"/>
          <w:sz w:val="20"/>
          <w:szCs w:val="20"/>
        </w:rPr>
        <w:t xml:space="preserve">The value and benefits of research are vitally dependent on the </w:t>
      </w:r>
      <w:r w:rsidR="00D64140" w:rsidRPr="00D64140">
        <w:rPr>
          <w:rFonts w:ascii="Arial" w:hAnsi="Arial" w:cs="Arial"/>
          <w:b/>
          <w:color w:val="1D1B11" w:themeColor="background2" w:themeShade="1A"/>
          <w:sz w:val="20"/>
          <w:szCs w:val="20"/>
        </w:rPr>
        <w:t>integrity</w:t>
      </w:r>
      <w:r w:rsidR="00972C48" w:rsidRPr="00972C48">
        <w:rPr>
          <w:rFonts w:ascii="Arial" w:hAnsi="Arial" w:cs="Arial"/>
          <w:color w:val="1D1B11" w:themeColor="background2" w:themeShade="1A"/>
          <w:sz w:val="20"/>
          <w:szCs w:val="20"/>
        </w:rPr>
        <w:t xml:space="preserve"> of research</w:t>
      </w:r>
      <w:r w:rsidR="00972C48">
        <w:rPr>
          <w:rFonts w:ascii="Arial" w:hAnsi="Arial" w:cs="Arial"/>
          <w:color w:val="1D1B11" w:themeColor="background2" w:themeShade="1A"/>
          <w:sz w:val="20"/>
          <w:szCs w:val="20"/>
        </w:rPr>
        <w:t xml:space="preserve"> (</w:t>
      </w:r>
      <w:hyperlink r:id="rId7" w:history="1">
        <w:r w:rsidR="00D64140">
          <w:rPr>
            <w:rStyle w:val="Hyperlink"/>
            <w:rFonts w:ascii="Arial" w:hAnsi="Arial" w:cs="Arial"/>
            <w:sz w:val="20"/>
            <w:szCs w:val="20"/>
          </w:rPr>
          <w:t>Singapore Statement in Research Integrity</w:t>
        </w:r>
      </w:hyperlink>
      <w:r w:rsidR="00D64140" w:rsidRPr="00D64140">
        <w:rPr>
          <w:rFonts w:ascii="Arial" w:hAnsi="Arial" w:cs="Arial"/>
          <w:color w:val="1D1B11" w:themeColor="background2" w:themeShade="1A"/>
          <w:sz w:val="20"/>
          <w:szCs w:val="20"/>
        </w:rPr>
        <w:t xml:space="preserve"> 2010 endorsed</w:t>
      </w:r>
      <w:r w:rsidR="00972C48">
        <w:rPr>
          <w:rFonts w:ascii="Arial" w:hAnsi="Arial" w:cs="Arial"/>
          <w:color w:val="1D1B11" w:themeColor="background2" w:themeShade="1A"/>
          <w:sz w:val="20"/>
          <w:szCs w:val="20"/>
        </w:rPr>
        <w:t xml:space="preserve"> by Academic Senate 2013)</w:t>
      </w:r>
      <w:r w:rsidR="00972C48" w:rsidRPr="00972C48">
        <w:rPr>
          <w:rFonts w:ascii="Arial" w:hAnsi="Arial" w:cs="Arial"/>
          <w:color w:val="1D1B11" w:themeColor="background2" w:themeShade="1A"/>
          <w:sz w:val="20"/>
          <w:szCs w:val="20"/>
        </w:rPr>
        <w:t>.</w:t>
      </w:r>
    </w:p>
    <w:p w:rsidR="00972C48" w:rsidRDefault="00972C48" w:rsidP="006869A8">
      <w:pPr>
        <w:autoSpaceDE w:val="0"/>
        <w:autoSpaceDN w:val="0"/>
        <w:rPr>
          <w:rFonts w:ascii="Arial" w:hAnsi="Arial" w:cs="Arial"/>
          <w:color w:val="1D1B11" w:themeColor="background2" w:themeShade="1A"/>
          <w:sz w:val="20"/>
          <w:szCs w:val="20"/>
        </w:rPr>
      </w:pPr>
    </w:p>
    <w:p w:rsidR="00D45329" w:rsidRDefault="000128E4">
      <w:pPr>
        <w:pBdr>
          <w:top w:val="single" w:sz="4" w:space="1" w:color="auto"/>
          <w:left w:val="single" w:sz="4" w:space="4" w:color="auto"/>
          <w:bottom w:val="single" w:sz="4" w:space="1" w:color="auto"/>
          <w:right w:val="single" w:sz="4" w:space="4" w:color="auto"/>
        </w:pBd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2) </w:t>
      </w:r>
      <w:r w:rsidR="006869A8" w:rsidRPr="006869A8">
        <w:rPr>
          <w:rFonts w:ascii="Arial" w:hAnsi="Arial" w:cs="Arial"/>
          <w:color w:val="1D1B11" w:themeColor="background2" w:themeShade="1A"/>
          <w:sz w:val="20"/>
          <w:szCs w:val="20"/>
        </w:rPr>
        <w:t>Researchers must foster and maintain a research environment of intellectual honesty</w:t>
      </w:r>
      <w:r w:rsidR="00972C48">
        <w:rPr>
          <w:rFonts w:ascii="Arial" w:hAnsi="Arial" w:cs="Arial"/>
          <w:color w:val="1D1B11" w:themeColor="background2" w:themeShade="1A"/>
          <w:sz w:val="20"/>
          <w:szCs w:val="20"/>
        </w:rPr>
        <w:t xml:space="preserve"> </w:t>
      </w:r>
      <w:r w:rsidR="006869A8" w:rsidRPr="006869A8">
        <w:rPr>
          <w:rFonts w:ascii="Arial" w:hAnsi="Arial" w:cs="Arial"/>
          <w:color w:val="1D1B11" w:themeColor="background2" w:themeShade="1A"/>
          <w:sz w:val="20"/>
          <w:szCs w:val="20"/>
        </w:rPr>
        <w:t xml:space="preserve">and integrity, and scholarly and </w:t>
      </w:r>
      <w:r w:rsidR="00D64140" w:rsidRPr="00D64140">
        <w:rPr>
          <w:rFonts w:ascii="Arial" w:hAnsi="Arial" w:cs="Arial"/>
          <w:b/>
          <w:color w:val="1D1B11" w:themeColor="background2" w:themeShade="1A"/>
          <w:sz w:val="20"/>
          <w:szCs w:val="20"/>
        </w:rPr>
        <w:t>scientific rigour</w:t>
      </w:r>
      <w:r w:rsidR="006869A8">
        <w:rPr>
          <w:rFonts w:ascii="Arial" w:hAnsi="Arial" w:cs="Arial"/>
          <w:color w:val="1D1B11" w:themeColor="background2" w:themeShade="1A"/>
          <w:sz w:val="20"/>
          <w:szCs w:val="20"/>
        </w:rPr>
        <w:t xml:space="preserve"> </w:t>
      </w:r>
      <w:hyperlink r:id="rId8" w:history="1"/>
      <w:r w:rsidR="006869A8">
        <w:rPr>
          <w:rFonts w:ascii="Arial" w:hAnsi="Arial" w:cs="Arial"/>
          <w:color w:val="1D1B11" w:themeColor="background2" w:themeShade="1A"/>
          <w:sz w:val="20"/>
          <w:szCs w:val="20"/>
        </w:rPr>
        <w:t xml:space="preserve"> </w:t>
      </w:r>
      <w:r w:rsidR="006869A8" w:rsidRPr="00B10B64">
        <w:rPr>
          <w:rFonts w:ascii="Arial" w:hAnsi="Arial" w:cs="Arial"/>
          <w:color w:val="1D1B11" w:themeColor="background2" w:themeShade="1A"/>
          <w:sz w:val="20"/>
          <w:szCs w:val="20"/>
        </w:rPr>
        <w:t>(2007</w:t>
      </w:r>
      <w:r w:rsidR="006869A8">
        <w:rPr>
          <w:rFonts w:ascii="Arial" w:hAnsi="Arial" w:cs="Arial"/>
          <w:color w:val="1D1B11" w:themeColor="background2" w:themeShade="1A"/>
          <w:sz w:val="20"/>
          <w:szCs w:val="20"/>
        </w:rPr>
        <w:t xml:space="preserve">).  UWS </w:t>
      </w:r>
    </w:p>
    <w:p w:rsidR="006869A8" w:rsidRDefault="006869A8" w:rsidP="006869A8">
      <w:pPr>
        <w:autoSpaceDE w:val="0"/>
        <w:autoSpaceDN w:val="0"/>
        <w:rPr>
          <w:rFonts w:ascii="Arial" w:hAnsi="Arial" w:cs="Arial"/>
          <w:color w:val="1D1B11" w:themeColor="background2" w:themeShade="1A"/>
          <w:sz w:val="20"/>
          <w:szCs w:val="20"/>
        </w:rPr>
      </w:pPr>
    </w:p>
    <w:p w:rsidR="00D45329" w:rsidRDefault="000128E4">
      <w:pPr>
        <w:pBdr>
          <w:top w:val="single" w:sz="4" w:space="1" w:color="auto"/>
          <w:left w:val="single" w:sz="4" w:space="4" w:color="auto"/>
          <w:bottom w:val="single" w:sz="4" w:space="1" w:color="auto"/>
          <w:right w:val="single" w:sz="4" w:space="4" w:color="auto"/>
        </w:pBd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3) </w:t>
      </w:r>
      <w:r w:rsidR="006869A8" w:rsidRPr="006869A8">
        <w:rPr>
          <w:rFonts w:ascii="Arial" w:hAnsi="Arial" w:cs="Arial"/>
          <w:color w:val="1D1B11" w:themeColor="background2" w:themeShade="1A"/>
          <w:sz w:val="20"/>
          <w:szCs w:val="20"/>
        </w:rPr>
        <w:t xml:space="preserve">The trend among researchers is to embed </w:t>
      </w:r>
      <w:r w:rsidR="00D64140" w:rsidRPr="00D64140">
        <w:rPr>
          <w:rFonts w:ascii="Arial" w:hAnsi="Arial" w:cs="Arial"/>
          <w:b/>
          <w:color w:val="1D1B11" w:themeColor="background2" w:themeShade="1A"/>
          <w:sz w:val="20"/>
          <w:szCs w:val="20"/>
        </w:rPr>
        <w:t>research ethics</w:t>
      </w:r>
      <w:r w:rsidR="006869A8" w:rsidRPr="006869A8">
        <w:rPr>
          <w:rFonts w:ascii="Arial" w:hAnsi="Arial" w:cs="Arial"/>
          <w:color w:val="1D1B11" w:themeColor="background2" w:themeShade="1A"/>
          <w:sz w:val="20"/>
          <w:szCs w:val="20"/>
        </w:rPr>
        <w:t xml:space="preserve"> into all aspects of the research, right from </w:t>
      </w:r>
      <w:r w:rsidR="006869A8">
        <w:rPr>
          <w:rFonts w:ascii="Arial" w:hAnsi="Arial" w:cs="Arial"/>
          <w:color w:val="1D1B11" w:themeColor="background2" w:themeShade="1A"/>
          <w:sz w:val="20"/>
          <w:szCs w:val="20"/>
        </w:rPr>
        <w:t xml:space="preserve">the design stage through to all the </w:t>
      </w:r>
      <w:r w:rsidR="006869A8" w:rsidRPr="006869A8">
        <w:rPr>
          <w:rFonts w:ascii="Arial" w:hAnsi="Arial" w:cs="Arial"/>
          <w:color w:val="1D1B11" w:themeColor="background2" w:themeShade="1A"/>
          <w:sz w:val="20"/>
          <w:szCs w:val="20"/>
        </w:rPr>
        <w:t xml:space="preserve">activities that form their ethical research practice. </w:t>
      </w:r>
      <w:r w:rsidR="00B44C6D">
        <w:rPr>
          <w:rFonts w:ascii="Arial" w:hAnsi="Arial" w:cs="Arial"/>
          <w:color w:val="1D1B11" w:themeColor="background2" w:themeShade="1A"/>
          <w:sz w:val="20"/>
          <w:szCs w:val="20"/>
        </w:rPr>
        <w:t>This is essential where research involves human participants (</w:t>
      </w:r>
      <w:hyperlink r:id="rId9" w:history="1">
        <w:r w:rsidR="00AF6C3B" w:rsidRPr="00AF6C3B">
          <w:rPr>
            <w:rStyle w:val="Hyperlink"/>
            <w:rFonts w:ascii="Arial" w:hAnsi="Arial" w:cs="Arial"/>
            <w:sz w:val="20"/>
            <w:szCs w:val="20"/>
          </w:rPr>
          <w:t>National Statement on Ethical Conduct in Human Research</w:t>
        </w:r>
      </w:hyperlink>
      <w:r w:rsidR="00AF6C3B">
        <w:rPr>
          <w:rFonts w:ascii="Arial" w:hAnsi="Arial" w:cs="Arial"/>
          <w:color w:val="1D1B11" w:themeColor="background2" w:themeShade="1A"/>
          <w:sz w:val="20"/>
          <w:szCs w:val="20"/>
        </w:rPr>
        <w:t xml:space="preserve"> 2007</w:t>
      </w:r>
      <w:r w:rsidR="00B44C6D">
        <w:rPr>
          <w:rFonts w:ascii="Arial" w:hAnsi="Arial" w:cs="Arial"/>
          <w:color w:val="1D1B11" w:themeColor="background2" w:themeShade="1A"/>
          <w:sz w:val="20"/>
          <w:szCs w:val="20"/>
        </w:rPr>
        <w:t>) or animals (</w:t>
      </w:r>
      <w:hyperlink r:id="rId10" w:history="1">
        <w:r w:rsidR="00AF6C3B" w:rsidRPr="00AF6C3B">
          <w:rPr>
            <w:rStyle w:val="Hyperlink"/>
            <w:rFonts w:ascii="Arial" w:hAnsi="Arial" w:cs="Arial"/>
            <w:sz w:val="20"/>
            <w:szCs w:val="20"/>
          </w:rPr>
          <w:t>Australian code for the care and use of animals for scientific purposes</w:t>
        </w:r>
      </w:hyperlink>
      <w:r w:rsidR="00AF6C3B" w:rsidRPr="00AF6C3B">
        <w:rPr>
          <w:rFonts w:ascii="Arial" w:hAnsi="Arial" w:cs="Arial"/>
          <w:color w:val="1D1B11" w:themeColor="background2" w:themeShade="1A"/>
          <w:sz w:val="20"/>
          <w:szCs w:val="20"/>
        </w:rPr>
        <w:t xml:space="preserve"> 8th edition (2013)</w:t>
      </w:r>
      <w:r w:rsidR="00AF6C3B">
        <w:rPr>
          <w:rFonts w:ascii="Arial" w:hAnsi="Arial" w:cs="Arial"/>
          <w:color w:val="1D1B11" w:themeColor="background2" w:themeShade="1A"/>
          <w:sz w:val="20"/>
          <w:szCs w:val="20"/>
        </w:rPr>
        <w:t>.</w:t>
      </w:r>
      <w:r w:rsidR="00AF6C3B" w:rsidRPr="00AF6C3B">
        <w:rPr>
          <w:rFonts w:ascii="Arial" w:hAnsi="Arial" w:cs="Arial"/>
          <w:color w:val="1D1B11" w:themeColor="background2" w:themeShade="1A"/>
          <w:sz w:val="20"/>
          <w:szCs w:val="20"/>
        </w:rPr>
        <w:t xml:space="preserve"> </w:t>
      </w:r>
    </w:p>
    <w:p w:rsidR="00972C48" w:rsidRPr="006869A8" w:rsidRDefault="00972C48" w:rsidP="006869A8">
      <w:pPr>
        <w:autoSpaceDE w:val="0"/>
        <w:autoSpaceDN w:val="0"/>
        <w:rPr>
          <w:rFonts w:ascii="Arial" w:hAnsi="Arial" w:cs="Arial"/>
          <w:color w:val="1D1B11" w:themeColor="background2" w:themeShade="1A"/>
          <w:sz w:val="20"/>
          <w:szCs w:val="20"/>
        </w:rPr>
      </w:pPr>
    </w:p>
    <w:p w:rsidR="00972C48" w:rsidRDefault="00972C48" w:rsidP="009C4242">
      <w:pP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These quotes signal three key aspects of the </w:t>
      </w:r>
      <w:r w:rsidRPr="009C4242">
        <w:rPr>
          <w:rFonts w:ascii="Arial" w:hAnsi="Arial" w:cs="Arial"/>
          <w:color w:val="1D1B11" w:themeColor="background2" w:themeShade="1A"/>
          <w:sz w:val="20"/>
          <w:szCs w:val="20"/>
        </w:rPr>
        <w:t>Confirmation of Candidature</w:t>
      </w:r>
      <w:r w:rsidR="000128E4">
        <w:rPr>
          <w:rFonts w:ascii="Arial" w:hAnsi="Arial" w:cs="Arial"/>
          <w:color w:val="1D1B11" w:themeColor="background2" w:themeShade="1A"/>
          <w:sz w:val="20"/>
          <w:szCs w:val="20"/>
        </w:rPr>
        <w:t xml:space="preserve"> and more detail is provided below</w:t>
      </w:r>
      <w:r>
        <w:rPr>
          <w:rFonts w:ascii="Arial" w:hAnsi="Arial" w:cs="Arial"/>
          <w:color w:val="1D1B11" w:themeColor="background2" w:themeShade="1A"/>
          <w:sz w:val="20"/>
          <w:szCs w:val="20"/>
        </w:rPr>
        <w:t xml:space="preserve">.  </w:t>
      </w:r>
    </w:p>
    <w:p w:rsidR="000128E4" w:rsidRDefault="000128E4" w:rsidP="009C4242">
      <w:pPr>
        <w:autoSpaceDE w:val="0"/>
        <w:autoSpaceDN w:val="0"/>
        <w:rPr>
          <w:rFonts w:ascii="Arial" w:hAnsi="Arial" w:cs="Arial"/>
          <w:color w:val="1D1B11" w:themeColor="background2" w:themeShade="1A"/>
          <w:sz w:val="20"/>
          <w:szCs w:val="20"/>
        </w:rPr>
      </w:pPr>
    </w:p>
    <w:p w:rsidR="00972C48" w:rsidRDefault="00972C48" w:rsidP="009C4242">
      <w:pPr>
        <w:autoSpaceDE w:val="0"/>
        <w:autoSpaceDN w:val="0"/>
        <w:rPr>
          <w:rFonts w:ascii="Arial" w:hAnsi="Arial" w:cs="Arial"/>
          <w:bCs/>
          <w:i/>
          <w:color w:val="1D1B11" w:themeColor="background2" w:themeShade="1A"/>
          <w:sz w:val="20"/>
          <w:szCs w:val="20"/>
        </w:rPr>
      </w:pPr>
      <w:r>
        <w:rPr>
          <w:rFonts w:ascii="Arial" w:hAnsi="Arial" w:cs="Arial"/>
          <w:color w:val="1D1B11" w:themeColor="background2" w:themeShade="1A"/>
          <w:sz w:val="20"/>
          <w:szCs w:val="20"/>
        </w:rPr>
        <w:t>1) The candidate must be familiar with the expectations of the scholarly community with respect to how the social practice of research is conducted. TESQA requires all candidates to have completed training in the responsible conduct of research.  At UWS this is carri</w:t>
      </w:r>
      <w:r w:rsidR="00D64140">
        <w:rPr>
          <w:rFonts w:ascii="Arial" w:hAnsi="Arial" w:cs="Arial"/>
          <w:color w:val="1D1B11" w:themeColor="background2" w:themeShade="1A"/>
          <w:sz w:val="20"/>
          <w:szCs w:val="20"/>
        </w:rPr>
        <w:t>ed out via</w:t>
      </w:r>
      <w:r w:rsidR="00D64140" w:rsidRPr="00D64140">
        <w:rPr>
          <w:rFonts w:ascii="Arial" w:hAnsi="Arial" w:cs="Arial"/>
          <w:color w:val="1D1B11" w:themeColor="background2" w:themeShade="1A"/>
          <w:sz w:val="20"/>
          <w:szCs w:val="20"/>
        </w:rPr>
        <w:t xml:space="preserve"> the </w:t>
      </w:r>
      <w:proofErr w:type="spellStart"/>
      <w:r w:rsidR="00D64140" w:rsidRPr="00D64140">
        <w:rPr>
          <w:rFonts w:ascii="Arial" w:hAnsi="Arial" w:cs="Arial"/>
          <w:color w:val="548DD4" w:themeColor="text2" w:themeTint="99"/>
          <w:sz w:val="20"/>
          <w:szCs w:val="20"/>
        </w:rPr>
        <w:t>vUWS</w:t>
      </w:r>
      <w:proofErr w:type="spellEnd"/>
      <w:r w:rsidR="00D64140" w:rsidRPr="00D64140">
        <w:rPr>
          <w:rFonts w:ascii="Arial" w:hAnsi="Arial" w:cs="Arial"/>
          <w:color w:val="548DD4" w:themeColor="text2" w:themeTint="99"/>
          <w:sz w:val="20"/>
          <w:szCs w:val="20"/>
        </w:rPr>
        <w:t xml:space="preserve"> </w:t>
      </w:r>
      <w:r w:rsidR="00D64140" w:rsidRPr="00D64140">
        <w:rPr>
          <w:rFonts w:ascii="Arial" w:hAnsi="Arial" w:cs="Arial"/>
          <w:color w:val="1D1B11" w:themeColor="background2" w:themeShade="1A"/>
          <w:sz w:val="20"/>
          <w:szCs w:val="20"/>
        </w:rPr>
        <w:t xml:space="preserve">online platform and the module </w:t>
      </w:r>
      <w:r w:rsidR="00A446C8" w:rsidRPr="00A446C8">
        <w:rPr>
          <w:rFonts w:ascii="Arial" w:hAnsi="Arial" w:cs="Arial"/>
          <w:bCs/>
          <w:i/>
          <w:color w:val="1D1B11" w:themeColor="background2" w:themeShade="1A"/>
          <w:sz w:val="20"/>
          <w:szCs w:val="20"/>
        </w:rPr>
        <w:t>Responsible Conduct in Research</w:t>
      </w:r>
      <w:r w:rsidR="00A446C8">
        <w:rPr>
          <w:rFonts w:ascii="Arial" w:hAnsi="Arial" w:cs="Arial"/>
          <w:bCs/>
          <w:i/>
          <w:color w:val="1D1B11" w:themeColor="background2" w:themeShade="1A"/>
          <w:sz w:val="20"/>
          <w:szCs w:val="20"/>
        </w:rPr>
        <w:t>.</w:t>
      </w:r>
    </w:p>
    <w:p w:rsidR="00A446C8" w:rsidRDefault="00A446C8" w:rsidP="009C4242">
      <w:pPr>
        <w:autoSpaceDE w:val="0"/>
        <w:autoSpaceDN w:val="0"/>
        <w:rPr>
          <w:rFonts w:ascii="Arial" w:hAnsi="Arial" w:cs="Arial"/>
          <w:color w:val="1D1B11" w:themeColor="background2" w:themeShade="1A"/>
          <w:sz w:val="20"/>
          <w:szCs w:val="20"/>
        </w:rPr>
      </w:pPr>
    </w:p>
    <w:p w:rsidR="00972C48" w:rsidRDefault="00972C48" w:rsidP="009C4242">
      <w:pP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2) The re</w:t>
      </w:r>
      <w:r w:rsidR="006869A8">
        <w:rPr>
          <w:rFonts w:ascii="Arial" w:hAnsi="Arial" w:cs="Arial"/>
          <w:color w:val="1D1B11" w:themeColor="background2" w:themeShade="1A"/>
          <w:sz w:val="20"/>
          <w:szCs w:val="20"/>
        </w:rPr>
        <w:t>search m</w:t>
      </w:r>
      <w:r w:rsidR="009C4242" w:rsidRPr="009C4242">
        <w:rPr>
          <w:rFonts w:ascii="Arial" w:hAnsi="Arial" w:cs="Arial"/>
          <w:color w:val="1D1B11" w:themeColor="background2" w:themeShade="1A"/>
          <w:sz w:val="20"/>
          <w:szCs w:val="20"/>
        </w:rPr>
        <w:t>erit</w:t>
      </w:r>
      <w:r>
        <w:rPr>
          <w:rFonts w:ascii="Arial" w:hAnsi="Arial" w:cs="Arial"/>
          <w:color w:val="1D1B11" w:themeColor="background2" w:themeShade="1A"/>
          <w:sz w:val="20"/>
          <w:szCs w:val="20"/>
        </w:rPr>
        <w:t xml:space="preserve"> of the candidate’s project must be established by the C</w:t>
      </w:r>
      <w:r w:rsidR="005818F0">
        <w:rPr>
          <w:rFonts w:ascii="Arial" w:hAnsi="Arial" w:cs="Arial"/>
          <w:color w:val="1D1B11" w:themeColor="background2" w:themeShade="1A"/>
          <w:sz w:val="20"/>
          <w:szCs w:val="20"/>
        </w:rPr>
        <w:t xml:space="preserve">onfirmation </w:t>
      </w:r>
      <w:r>
        <w:rPr>
          <w:rFonts w:ascii="Arial" w:hAnsi="Arial" w:cs="Arial"/>
          <w:color w:val="1D1B11" w:themeColor="background2" w:themeShade="1A"/>
          <w:sz w:val="20"/>
          <w:szCs w:val="20"/>
        </w:rPr>
        <w:t>o</w:t>
      </w:r>
      <w:r w:rsidR="005818F0">
        <w:rPr>
          <w:rFonts w:ascii="Arial" w:hAnsi="Arial" w:cs="Arial"/>
          <w:color w:val="1D1B11" w:themeColor="background2" w:themeShade="1A"/>
          <w:sz w:val="20"/>
          <w:szCs w:val="20"/>
        </w:rPr>
        <w:t xml:space="preserve">f </w:t>
      </w:r>
      <w:proofErr w:type="gramStart"/>
      <w:r>
        <w:rPr>
          <w:rFonts w:ascii="Arial" w:hAnsi="Arial" w:cs="Arial"/>
          <w:color w:val="1D1B11" w:themeColor="background2" w:themeShade="1A"/>
          <w:sz w:val="20"/>
          <w:szCs w:val="20"/>
        </w:rPr>
        <w:t>C</w:t>
      </w:r>
      <w:r w:rsidR="005818F0">
        <w:rPr>
          <w:rFonts w:ascii="Arial" w:hAnsi="Arial" w:cs="Arial"/>
          <w:color w:val="1D1B11" w:themeColor="background2" w:themeShade="1A"/>
          <w:sz w:val="20"/>
          <w:szCs w:val="20"/>
        </w:rPr>
        <w:t xml:space="preserve">andidature </w:t>
      </w:r>
      <w:r>
        <w:rPr>
          <w:rFonts w:ascii="Arial" w:hAnsi="Arial" w:cs="Arial"/>
          <w:color w:val="1D1B11" w:themeColor="background2" w:themeShade="1A"/>
          <w:sz w:val="20"/>
          <w:szCs w:val="20"/>
        </w:rPr>
        <w:t xml:space="preserve"> </w:t>
      </w:r>
      <w:r w:rsidR="005818F0">
        <w:rPr>
          <w:rFonts w:ascii="Arial" w:hAnsi="Arial" w:cs="Arial"/>
          <w:color w:val="1D1B11" w:themeColor="background2" w:themeShade="1A"/>
          <w:sz w:val="20"/>
          <w:szCs w:val="20"/>
        </w:rPr>
        <w:t>Advisory</w:t>
      </w:r>
      <w:proofErr w:type="gramEnd"/>
      <w:r w:rsidR="005818F0">
        <w:rPr>
          <w:rFonts w:ascii="Arial" w:hAnsi="Arial" w:cs="Arial"/>
          <w:color w:val="1D1B11" w:themeColor="background2" w:themeShade="1A"/>
          <w:sz w:val="20"/>
          <w:szCs w:val="20"/>
        </w:rPr>
        <w:t xml:space="preserve"> C</w:t>
      </w:r>
      <w:r>
        <w:rPr>
          <w:rFonts w:ascii="Arial" w:hAnsi="Arial" w:cs="Arial"/>
          <w:color w:val="1D1B11" w:themeColor="background2" w:themeShade="1A"/>
          <w:sz w:val="20"/>
          <w:szCs w:val="20"/>
        </w:rPr>
        <w:t>ommittee.  This includes the suitableness of the method</w:t>
      </w:r>
      <w:r w:rsidR="004E5C0A">
        <w:rPr>
          <w:rFonts w:ascii="Arial" w:hAnsi="Arial" w:cs="Arial"/>
          <w:color w:val="1D1B11" w:themeColor="background2" w:themeShade="1A"/>
          <w:sz w:val="20"/>
          <w:szCs w:val="20"/>
        </w:rPr>
        <w:t>/approach or experimental methodology, including</w:t>
      </w:r>
      <w:r>
        <w:rPr>
          <w:rFonts w:ascii="Arial" w:hAnsi="Arial" w:cs="Arial"/>
          <w:color w:val="1D1B11" w:themeColor="background2" w:themeShade="1A"/>
          <w:sz w:val="20"/>
          <w:szCs w:val="20"/>
        </w:rPr>
        <w:t xml:space="preserve"> the feasibility of the research process to answer the research questions.  </w:t>
      </w:r>
    </w:p>
    <w:p w:rsidR="00972C48" w:rsidRDefault="00972C48" w:rsidP="009C4242">
      <w:pPr>
        <w:autoSpaceDE w:val="0"/>
        <w:autoSpaceDN w:val="0"/>
        <w:rPr>
          <w:rFonts w:ascii="Arial" w:hAnsi="Arial" w:cs="Arial"/>
          <w:color w:val="1D1B11" w:themeColor="background2" w:themeShade="1A"/>
          <w:sz w:val="20"/>
          <w:szCs w:val="20"/>
        </w:rPr>
      </w:pPr>
    </w:p>
    <w:p w:rsidR="00D45329" w:rsidRDefault="00972C48">
      <w:pP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 xml:space="preserve">3) </w:t>
      </w:r>
      <w:r w:rsidR="00B44C6D" w:rsidRPr="009C4242">
        <w:rPr>
          <w:rFonts w:ascii="Arial" w:hAnsi="Arial" w:cs="Arial"/>
          <w:color w:val="1D1B11" w:themeColor="background2" w:themeShade="1A"/>
          <w:sz w:val="20"/>
          <w:szCs w:val="20"/>
        </w:rPr>
        <w:t xml:space="preserve">In putting together a proposal for a Confirmation of Candidature a student </w:t>
      </w:r>
      <w:r w:rsidR="00B44C6D">
        <w:rPr>
          <w:rFonts w:ascii="Arial" w:hAnsi="Arial" w:cs="Arial"/>
          <w:color w:val="1D1B11" w:themeColor="background2" w:themeShade="1A"/>
          <w:sz w:val="20"/>
          <w:szCs w:val="20"/>
        </w:rPr>
        <w:t xml:space="preserve">should </w:t>
      </w:r>
      <w:r w:rsidR="00B44C6D" w:rsidRPr="009C4242">
        <w:rPr>
          <w:rFonts w:ascii="Arial" w:hAnsi="Arial" w:cs="Arial"/>
          <w:color w:val="1D1B11" w:themeColor="background2" w:themeShade="1A"/>
          <w:sz w:val="20"/>
          <w:szCs w:val="20"/>
        </w:rPr>
        <w:t xml:space="preserve">outline all ethical issues that are of relevance to their proposed project </w:t>
      </w:r>
      <w:r w:rsidR="00B44C6D">
        <w:rPr>
          <w:rFonts w:ascii="Arial" w:hAnsi="Arial" w:cs="Arial"/>
          <w:color w:val="1D1B11" w:themeColor="background2" w:themeShade="1A"/>
          <w:sz w:val="20"/>
          <w:szCs w:val="20"/>
        </w:rPr>
        <w:t>and how they will be dealt with</w:t>
      </w:r>
      <w:r w:rsidR="00B44C6D" w:rsidRPr="009C4242">
        <w:rPr>
          <w:rFonts w:ascii="Arial" w:hAnsi="Arial" w:cs="Arial"/>
          <w:color w:val="1D1B11" w:themeColor="background2" w:themeShade="1A"/>
          <w:sz w:val="20"/>
          <w:szCs w:val="20"/>
        </w:rPr>
        <w:t> </w:t>
      </w:r>
      <w:r>
        <w:rPr>
          <w:rFonts w:ascii="Arial" w:hAnsi="Arial" w:cs="Arial"/>
          <w:color w:val="1D1B11" w:themeColor="background2" w:themeShade="1A"/>
          <w:sz w:val="20"/>
          <w:szCs w:val="20"/>
        </w:rPr>
        <w:t>including, but not limited to</w:t>
      </w:r>
      <w:r w:rsidR="004E5C0A">
        <w:rPr>
          <w:rFonts w:ascii="Arial" w:hAnsi="Arial" w:cs="Arial"/>
          <w:color w:val="1D1B11" w:themeColor="background2" w:themeShade="1A"/>
          <w:sz w:val="20"/>
          <w:szCs w:val="20"/>
        </w:rPr>
        <w:t>:</w:t>
      </w:r>
      <w:r>
        <w:rPr>
          <w:rFonts w:ascii="Arial" w:hAnsi="Arial" w:cs="Arial"/>
          <w:color w:val="1D1B11" w:themeColor="background2" w:themeShade="1A"/>
          <w:sz w:val="20"/>
          <w:szCs w:val="20"/>
        </w:rPr>
        <w:t xml:space="preserve"> </w:t>
      </w:r>
    </w:p>
    <w:p w:rsidR="00A446C8" w:rsidRDefault="003A77E1" w:rsidP="00A446C8">
      <w:pPr>
        <w:pStyle w:val="ListParagraph"/>
        <w:numPr>
          <w:ilvl w:val="0"/>
          <w:numId w:val="1"/>
        </w:numP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t</w:t>
      </w:r>
      <w:r w:rsidR="00A446C8">
        <w:rPr>
          <w:rFonts w:ascii="Arial" w:hAnsi="Arial" w:cs="Arial"/>
          <w:color w:val="1D1B11" w:themeColor="background2" w:themeShade="1A"/>
          <w:sz w:val="20"/>
          <w:szCs w:val="20"/>
        </w:rPr>
        <w:t>heir responsibilities relating to d</w:t>
      </w:r>
      <w:r w:rsidR="00A446C8" w:rsidRPr="009C4242">
        <w:rPr>
          <w:rFonts w:ascii="Arial" w:hAnsi="Arial" w:cs="Arial"/>
          <w:color w:val="1D1B11" w:themeColor="background2" w:themeShade="1A"/>
          <w:sz w:val="20"/>
          <w:szCs w:val="20"/>
        </w:rPr>
        <w:t xml:space="preserve">ata </w:t>
      </w:r>
      <w:r w:rsidR="00A446C8">
        <w:rPr>
          <w:rFonts w:ascii="Arial" w:hAnsi="Arial" w:cs="Arial"/>
          <w:color w:val="1D1B11" w:themeColor="background2" w:themeShade="1A"/>
          <w:sz w:val="20"/>
          <w:szCs w:val="20"/>
        </w:rPr>
        <w:t xml:space="preserve">management, </w:t>
      </w:r>
      <w:r w:rsidR="00A446C8" w:rsidRPr="009C4242">
        <w:rPr>
          <w:rFonts w:ascii="Arial" w:hAnsi="Arial" w:cs="Arial"/>
          <w:color w:val="1D1B11" w:themeColor="background2" w:themeShade="1A"/>
          <w:sz w:val="20"/>
          <w:szCs w:val="20"/>
        </w:rPr>
        <w:t>storage and dissemination</w:t>
      </w:r>
      <w:r w:rsidR="004E5C0A">
        <w:rPr>
          <w:rFonts w:ascii="Arial" w:hAnsi="Arial" w:cs="Arial"/>
          <w:color w:val="1D1B11" w:themeColor="background2" w:themeShade="1A"/>
          <w:sz w:val="20"/>
          <w:szCs w:val="20"/>
        </w:rPr>
        <w:t xml:space="preserve"> </w:t>
      </w:r>
      <w:r w:rsidR="00A446C8" w:rsidRPr="009C4242">
        <w:rPr>
          <w:rFonts w:ascii="Arial" w:hAnsi="Arial" w:cs="Arial"/>
          <w:color w:val="1D1B11" w:themeColor="background2" w:themeShade="1A"/>
          <w:sz w:val="20"/>
          <w:szCs w:val="20"/>
        </w:rPr>
        <w:t>– how this will comply with relevant requirements</w:t>
      </w:r>
    </w:p>
    <w:p w:rsidR="00A446C8" w:rsidRPr="009C4242" w:rsidRDefault="003A77E1" w:rsidP="00A446C8">
      <w:pPr>
        <w:pStyle w:val="ListParagraph"/>
        <w:numPr>
          <w:ilvl w:val="0"/>
          <w:numId w:val="1"/>
        </w:numPr>
        <w:autoSpaceDE w:val="0"/>
        <w:autoSpaceDN w:val="0"/>
        <w:rPr>
          <w:rFonts w:ascii="Arial" w:hAnsi="Arial" w:cs="Arial"/>
          <w:color w:val="1D1B11" w:themeColor="background2" w:themeShade="1A"/>
          <w:sz w:val="20"/>
          <w:szCs w:val="20"/>
        </w:rPr>
      </w:pPr>
      <w:r>
        <w:rPr>
          <w:rFonts w:ascii="Arial" w:hAnsi="Arial" w:cs="Arial"/>
          <w:color w:val="1D1B11" w:themeColor="background2" w:themeShade="1A"/>
          <w:sz w:val="20"/>
          <w:szCs w:val="20"/>
        </w:rPr>
        <w:t>t</w:t>
      </w:r>
      <w:r w:rsidR="00A446C8">
        <w:rPr>
          <w:rFonts w:ascii="Arial" w:hAnsi="Arial" w:cs="Arial"/>
          <w:color w:val="1D1B11" w:themeColor="background2" w:themeShade="1A"/>
          <w:sz w:val="20"/>
          <w:szCs w:val="20"/>
        </w:rPr>
        <w:t>heir responsibilities relating to authorship</w:t>
      </w:r>
    </w:p>
    <w:p w:rsidR="005818F0" w:rsidRDefault="00972C48" w:rsidP="005818F0">
      <w:pPr>
        <w:pStyle w:val="ListParagraph"/>
        <w:numPr>
          <w:ilvl w:val="0"/>
          <w:numId w:val="1"/>
        </w:numPr>
        <w:rPr>
          <w:rStyle w:val="oinw-text"/>
          <w:rFonts w:ascii="Arial" w:hAnsi="Arial" w:cs="Arial"/>
          <w:color w:val="1D1B11" w:themeColor="background2" w:themeShade="1A"/>
          <w:sz w:val="20"/>
          <w:szCs w:val="20"/>
        </w:rPr>
      </w:pPr>
      <w:r w:rsidRPr="005818F0">
        <w:rPr>
          <w:rFonts w:ascii="Arial" w:hAnsi="Arial" w:cs="Arial"/>
          <w:color w:val="1D1B11" w:themeColor="background2" w:themeShade="1A"/>
          <w:sz w:val="20"/>
          <w:szCs w:val="20"/>
        </w:rPr>
        <w:t>their responsibilities for research with animals as set out in the</w:t>
      </w:r>
      <w:r w:rsidR="005818F0" w:rsidRPr="005818F0">
        <w:rPr>
          <w:rFonts w:ascii="Arial" w:hAnsi="Arial" w:cs="Arial"/>
          <w:color w:val="1D1B11" w:themeColor="background2" w:themeShade="1A"/>
          <w:sz w:val="20"/>
          <w:szCs w:val="20"/>
        </w:rPr>
        <w:t xml:space="preserve"> </w:t>
      </w:r>
      <w:hyperlink r:id="rId11" w:tgtFrame="_blank" w:history="1">
        <w:r w:rsidR="00222714" w:rsidRPr="005818F0">
          <w:rPr>
            <w:rFonts w:ascii="Arial" w:hAnsi="Arial" w:cs="Arial"/>
            <w:sz w:val="20"/>
            <w:szCs w:val="20"/>
          </w:rPr>
          <w:t>Australian code for the care and use of animals for scientific purposes 8th edition (2013)</w:t>
        </w:r>
      </w:hyperlink>
      <w:r w:rsidR="00222714" w:rsidRPr="005818F0">
        <w:rPr>
          <w:rFonts w:ascii="Arial" w:hAnsi="Arial" w:cs="Arial"/>
          <w:color w:val="1D1B11" w:themeColor="background2" w:themeShade="1A"/>
          <w:sz w:val="20"/>
          <w:szCs w:val="20"/>
        </w:rPr>
        <w:t xml:space="preserve"> </w:t>
      </w:r>
      <w:r w:rsidR="00222714" w:rsidRPr="005818F0">
        <w:rPr>
          <w:rStyle w:val="oinw-text"/>
          <w:rFonts w:ascii="Arial" w:hAnsi="Arial" w:cs="Arial"/>
          <w:color w:val="1D1B11" w:themeColor="background2" w:themeShade="1A"/>
          <w:sz w:val="20"/>
          <w:szCs w:val="20"/>
        </w:rPr>
        <w:t>(opens in new window)</w:t>
      </w:r>
      <w:r w:rsidR="00222714" w:rsidRPr="005818F0">
        <w:rPr>
          <w:noProof/>
          <w:color w:val="1D1B11" w:themeColor="background2" w:themeShade="1A"/>
          <w:sz w:val="20"/>
          <w:szCs w:val="20"/>
        </w:rPr>
        <w:drawing>
          <wp:inline distT="0" distB="0" distL="0" distR="0">
            <wp:extent cx="114300" cy="114300"/>
            <wp:effectExtent l="19050" t="0" r="0" b="0"/>
            <wp:docPr id="1" name="Picture 1" descr="Opens in a new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ns in a new window"/>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DB32B9" w:rsidRPr="005818F0" w:rsidRDefault="0022082B" w:rsidP="005818F0">
      <w:pPr>
        <w:pStyle w:val="ListParagraph"/>
        <w:numPr>
          <w:ilvl w:val="0"/>
          <w:numId w:val="1"/>
        </w:numPr>
        <w:rPr>
          <w:rFonts w:ascii="Arial" w:hAnsi="Arial" w:cs="Arial"/>
          <w:color w:val="1D1B11" w:themeColor="background2" w:themeShade="1A"/>
          <w:sz w:val="20"/>
          <w:szCs w:val="20"/>
        </w:rPr>
      </w:pPr>
      <w:proofErr w:type="gramStart"/>
      <w:r>
        <w:rPr>
          <w:rStyle w:val="oinw-text"/>
          <w:rFonts w:ascii="Arial" w:hAnsi="Arial" w:cs="Arial"/>
          <w:color w:val="1D1B11" w:themeColor="background2" w:themeShade="1A"/>
          <w:sz w:val="20"/>
          <w:szCs w:val="20"/>
        </w:rPr>
        <w:t>t</w:t>
      </w:r>
      <w:r w:rsidR="00DB32B9">
        <w:rPr>
          <w:rStyle w:val="oinw-text"/>
          <w:rFonts w:ascii="Arial" w:hAnsi="Arial" w:cs="Arial"/>
          <w:color w:val="1D1B11" w:themeColor="background2" w:themeShade="1A"/>
          <w:sz w:val="20"/>
          <w:szCs w:val="20"/>
        </w:rPr>
        <w:t>heir</w:t>
      </w:r>
      <w:proofErr w:type="gramEnd"/>
      <w:r w:rsidR="00DB32B9">
        <w:rPr>
          <w:rStyle w:val="oinw-text"/>
          <w:rFonts w:ascii="Arial" w:hAnsi="Arial" w:cs="Arial"/>
          <w:color w:val="1D1B11" w:themeColor="background2" w:themeShade="1A"/>
          <w:sz w:val="20"/>
          <w:szCs w:val="20"/>
        </w:rPr>
        <w:t xml:space="preserve"> responsibilities for research involving genetically modified organisms as set out in the Gene Technology legislation and AS/NZS22A3.3-5 safety in laboratories part 3: Microbiological Safety and Containment.</w:t>
      </w:r>
    </w:p>
    <w:p w:rsidR="00972C48" w:rsidRPr="009C4242" w:rsidRDefault="00972C48" w:rsidP="00972C48">
      <w:pPr>
        <w:pStyle w:val="ListParagraph"/>
        <w:numPr>
          <w:ilvl w:val="0"/>
          <w:numId w:val="1"/>
        </w:numPr>
        <w:autoSpaceDE w:val="0"/>
        <w:autoSpaceDN w:val="0"/>
        <w:rPr>
          <w:rFonts w:ascii="Arial" w:hAnsi="Arial" w:cs="Arial"/>
          <w:color w:val="1D1B11" w:themeColor="background2" w:themeShade="1A"/>
          <w:sz w:val="20"/>
          <w:szCs w:val="20"/>
        </w:rPr>
      </w:pPr>
      <w:r w:rsidRPr="005818F0">
        <w:rPr>
          <w:rFonts w:ascii="Arial" w:hAnsi="Arial" w:cs="Arial"/>
          <w:color w:val="1D1B11" w:themeColor="background2" w:themeShade="1A"/>
          <w:sz w:val="20"/>
          <w:szCs w:val="20"/>
        </w:rPr>
        <w:t>their responsibiliti</w:t>
      </w:r>
      <w:r w:rsidR="00A446C8" w:rsidRPr="005818F0">
        <w:rPr>
          <w:rFonts w:ascii="Arial" w:hAnsi="Arial" w:cs="Arial"/>
          <w:color w:val="1D1B11" w:themeColor="background2" w:themeShade="1A"/>
          <w:sz w:val="20"/>
          <w:szCs w:val="20"/>
        </w:rPr>
        <w:t>e</w:t>
      </w:r>
      <w:r w:rsidRPr="005818F0">
        <w:rPr>
          <w:rFonts w:ascii="Arial" w:hAnsi="Arial" w:cs="Arial"/>
          <w:color w:val="1D1B11" w:themeColor="background2" w:themeShade="1A"/>
          <w:sz w:val="20"/>
          <w:szCs w:val="20"/>
        </w:rPr>
        <w:t>s for research with humans including, the voluntary</w:t>
      </w:r>
      <w:r w:rsidRPr="009C4242">
        <w:rPr>
          <w:rFonts w:ascii="Arial" w:hAnsi="Arial" w:cs="Arial"/>
          <w:color w:val="1D1B11" w:themeColor="background2" w:themeShade="1A"/>
          <w:sz w:val="20"/>
          <w:szCs w:val="20"/>
        </w:rPr>
        <w:t xml:space="preserve"> nature of participation (</w:t>
      </w:r>
      <w:r>
        <w:rPr>
          <w:rFonts w:ascii="Arial" w:hAnsi="Arial" w:cs="Arial"/>
          <w:color w:val="1D1B11" w:themeColor="background2" w:themeShade="1A"/>
          <w:sz w:val="20"/>
          <w:szCs w:val="20"/>
        </w:rPr>
        <w:t xml:space="preserve">the student must understand how to obtain </w:t>
      </w:r>
      <w:r w:rsidRPr="009C4242">
        <w:rPr>
          <w:rFonts w:ascii="Arial" w:hAnsi="Arial" w:cs="Arial"/>
          <w:color w:val="1D1B11" w:themeColor="background2" w:themeShade="1A"/>
          <w:sz w:val="20"/>
          <w:szCs w:val="20"/>
        </w:rPr>
        <w:t>full and informed consent that is free from coercion of any type)</w:t>
      </w:r>
    </w:p>
    <w:p w:rsidR="00972C48" w:rsidRPr="009C4242" w:rsidRDefault="00972C48" w:rsidP="00972C48">
      <w:pPr>
        <w:pStyle w:val="ListParagraph"/>
        <w:numPr>
          <w:ilvl w:val="0"/>
          <w:numId w:val="1"/>
        </w:num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Issues related to the safety of participants and the researcher (this includes physical, emotional and other risk factors). How risks are to be minimised, mitigated etc. need to be considered</w:t>
      </w:r>
    </w:p>
    <w:p w:rsidR="00972C48" w:rsidRDefault="00972C48" w:rsidP="00972C48">
      <w:pPr>
        <w:pStyle w:val="ListParagraph"/>
        <w:numPr>
          <w:ilvl w:val="0"/>
          <w:numId w:val="1"/>
        </w:num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Special considerations relevant to particular groups of research participants – e.g. Aboriginal and Torres Strait Islander people, young children etc.</w:t>
      </w:r>
    </w:p>
    <w:p w:rsidR="00285BA0" w:rsidRPr="009C4242" w:rsidRDefault="00285BA0" w:rsidP="00285BA0">
      <w:pPr>
        <w:pStyle w:val="ListParagraph"/>
        <w:numPr>
          <w:ilvl w:val="0"/>
          <w:numId w:val="1"/>
        </w:num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Conflicts</w:t>
      </w:r>
      <w:r>
        <w:rPr>
          <w:rFonts w:ascii="Arial" w:hAnsi="Arial" w:cs="Arial"/>
          <w:color w:val="1D1B11" w:themeColor="background2" w:themeShade="1A"/>
          <w:sz w:val="20"/>
          <w:szCs w:val="20"/>
        </w:rPr>
        <w:t>/duality</w:t>
      </w:r>
      <w:r w:rsidRPr="009C4242">
        <w:rPr>
          <w:rFonts w:ascii="Arial" w:hAnsi="Arial" w:cs="Arial"/>
          <w:color w:val="1D1B11" w:themeColor="background2" w:themeShade="1A"/>
          <w:sz w:val="20"/>
          <w:szCs w:val="20"/>
        </w:rPr>
        <w:t xml:space="preserve"> of interest – what these are and how they will be managed</w:t>
      </w:r>
    </w:p>
    <w:p w:rsidR="00285BA0" w:rsidRPr="009C4242" w:rsidRDefault="00285BA0" w:rsidP="00285BA0">
      <w:pPr>
        <w:pStyle w:val="ListParagraph"/>
        <w:numPr>
          <w:ilvl w:val="0"/>
          <w:numId w:val="1"/>
        </w:num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Issues of confidentiality and anonymity in relation to the participation in the research and reporting outcomes</w:t>
      </w:r>
    </w:p>
    <w:p w:rsidR="000128E4" w:rsidRDefault="000128E4" w:rsidP="009C4242">
      <w:pPr>
        <w:autoSpaceDE w:val="0"/>
        <w:autoSpaceDN w:val="0"/>
        <w:rPr>
          <w:rFonts w:ascii="Arial" w:hAnsi="Arial" w:cs="Arial"/>
          <w:color w:val="1D1B11" w:themeColor="background2" w:themeShade="1A"/>
          <w:sz w:val="20"/>
          <w:szCs w:val="20"/>
        </w:rPr>
      </w:pPr>
    </w:p>
    <w:p w:rsidR="009C4242" w:rsidRDefault="009C4242" w:rsidP="009C4242">
      <w:p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Alongside this stude</w:t>
      </w:r>
      <w:r>
        <w:rPr>
          <w:rFonts w:ascii="Arial" w:hAnsi="Arial" w:cs="Arial"/>
          <w:color w:val="1D1B11" w:themeColor="background2" w:themeShade="1A"/>
          <w:sz w:val="20"/>
          <w:szCs w:val="20"/>
        </w:rPr>
        <w:t>nts need to show they are familiar</w:t>
      </w:r>
      <w:r w:rsidRPr="009C4242">
        <w:rPr>
          <w:rFonts w:ascii="Arial" w:hAnsi="Arial" w:cs="Arial"/>
          <w:color w:val="1D1B11" w:themeColor="background2" w:themeShade="1A"/>
          <w:sz w:val="20"/>
          <w:szCs w:val="20"/>
        </w:rPr>
        <w:t xml:space="preserve"> with UWS policies and codes associated with the ethical conduct of research.</w:t>
      </w:r>
    </w:p>
    <w:p w:rsidR="00B10B64" w:rsidRDefault="00755C2C" w:rsidP="009C4242">
      <w:pPr>
        <w:autoSpaceDE w:val="0"/>
        <w:autoSpaceDN w:val="0"/>
        <w:rPr>
          <w:rFonts w:ascii="Arial" w:hAnsi="Arial" w:cs="Arial"/>
          <w:color w:val="1D1B11" w:themeColor="background2" w:themeShade="1A"/>
          <w:sz w:val="20"/>
          <w:szCs w:val="20"/>
        </w:rPr>
      </w:pPr>
      <w:hyperlink r:id="rId13" w:history="1">
        <w:r w:rsidR="00B10B64" w:rsidRPr="00B10B64">
          <w:rPr>
            <w:rStyle w:val="Hyperlink"/>
            <w:rFonts w:ascii="Arial" w:hAnsi="Arial" w:cs="Arial"/>
            <w:sz w:val="20"/>
            <w:szCs w:val="20"/>
          </w:rPr>
          <w:t>UWS Research Code of Practice</w:t>
        </w:r>
      </w:hyperlink>
      <w:r w:rsidR="00B10B64">
        <w:rPr>
          <w:rFonts w:ascii="Arial" w:hAnsi="Arial" w:cs="Arial"/>
          <w:color w:val="1D1B11" w:themeColor="background2" w:themeShade="1A"/>
          <w:sz w:val="20"/>
          <w:szCs w:val="20"/>
        </w:rPr>
        <w:t xml:space="preserve"> </w:t>
      </w:r>
    </w:p>
    <w:p w:rsidR="009C4242" w:rsidRPr="009C4242" w:rsidRDefault="009C4242" w:rsidP="009C4242">
      <w:pPr>
        <w:autoSpaceDE w:val="0"/>
        <w:autoSpaceDN w:val="0"/>
        <w:rPr>
          <w:rFonts w:ascii="Arial" w:hAnsi="Arial" w:cs="Arial"/>
          <w:color w:val="1D1B11" w:themeColor="background2" w:themeShade="1A"/>
          <w:sz w:val="20"/>
          <w:szCs w:val="20"/>
        </w:rPr>
      </w:pPr>
    </w:p>
    <w:p w:rsidR="00B10B64" w:rsidRPr="009C4242" w:rsidRDefault="009C4242" w:rsidP="00DB32B9">
      <w:pPr>
        <w:autoSpaceDE w:val="0"/>
        <w:autoSpaceDN w:val="0"/>
        <w:rPr>
          <w:rFonts w:ascii="Arial" w:hAnsi="Arial" w:cs="Arial"/>
          <w:color w:val="1D1B11" w:themeColor="background2" w:themeShade="1A"/>
          <w:sz w:val="20"/>
          <w:szCs w:val="20"/>
        </w:rPr>
      </w:pPr>
      <w:r w:rsidRPr="009C4242">
        <w:rPr>
          <w:rFonts w:ascii="Arial" w:hAnsi="Arial" w:cs="Arial"/>
          <w:color w:val="1D1B11" w:themeColor="background2" w:themeShade="1A"/>
          <w:sz w:val="20"/>
          <w:szCs w:val="20"/>
        </w:rPr>
        <w:t>Where a student is conducting a project that is part of a wider study the Confirmation of Candidature process should reaffirm the boundaries of the student project so that this is clear for all parties to see – and thus the rights and responsibilities of the student as re</w:t>
      </w:r>
      <w:r w:rsidR="00B10B64">
        <w:rPr>
          <w:rFonts w:ascii="Arial" w:hAnsi="Arial" w:cs="Arial"/>
          <w:color w:val="1D1B11" w:themeColor="background2" w:themeShade="1A"/>
          <w:sz w:val="20"/>
          <w:szCs w:val="20"/>
        </w:rPr>
        <w:t>searcher can be clearly defined.</w:t>
      </w:r>
    </w:p>
    <w:sectPr w:rsidR="00B10B64" w:rsidRPr="009C4242" w:rsidSect="00DA43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L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85B81"/>
    <w:multiLevelType w:val="hybridMultilevel"/>
    <w:tmpl w:val="E07A3E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nsid w:val="7EA83FAA"/>
    <w:multiLevelType w:val="multilevel"/>
    <w:tmpl w:val="48B0E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4242"/>
    <w:rsid w:val="000128E4"/>
    <w:rsid w:val="00017086"/>
    <w:rsid w:val="0022082B"/>
    <w:rsid w:val="00222714"/>
    <w:rsid w:val="00285BA0"/>
    <w:rsid w:val="003A77E1"/>
    <w:rsid w:val="004779DA"/>
    <w:rsid w:val="004E5C0A"/>
    <w:rsid w:val="005818F0"/>
    <w:rsid w:val="006869A8"/>
    <w:rsid w:val="0072508B"/>
    <w:rsid w:val="00755C2C"/>
    <w:rsid w:val="008835FF"/>
    <w:rsid w:val="00972C48"/>
    <w:rsid w:val="009C4242"/>
    <w:rsid w:val="009C4E7F"/>
    <w:rsid w:val="009F1DCA"/>
    <w:rsid w:val="00A446C8"/>
    <w:rsid w:val="00A74A73"/>
    <w:rsid w:val="00AF6C3B"/>
    <w:rsid w:val="00B10B64"/>
    <w:rsid w:val="00B44C6D"/>
    <w:rsid w:val="00D15346"/>
    <w:rsid w:val="00D45329"/>
    <w:rsid w:val="00D64140"/>
    <w:rsid w:val="00D93B73"/>
    <w:rsid w:val="00DA4332"/>
    <w:rsid w:val="00DB32B9"/>
    <w:rsid w:val="00E234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242"/>
    <w:pPr>
      <w:spacing w:after="0" w:line="240" w:lineRule="auto"/>
    </w:pPr>
    <w:rPr>
      <w:rFonts w:ascii="Calibri" w:hAnsi="Calibri" w:cs="Times New Roman"/>
      <w:lang w:eastAsia="en-AU"/>
    </w:rPr>
  </w:style>
  <w:style w:type="paragraph" w:styleId="Heading3">
    <w:name w:val="heading 3"/>
    <w:basedOn w:val="Normal"/>
    <w:link w:val="Heading3Char"/>
    <w:uiPriority w:val="9"/>
    <w:qFormat/>
    <w:rsid w:val="00017086"/>
    <w:pPr>
      <w:spacing w:before="100" w:beforeAutospacing="1" w:after="100" w:afterAutospacing="1"/>
      <w:outlineLvl w:val="2"/>
    </w:pPr>
    <w:rPr>
      <w:rFonts w:ascii="helvLght" w:eastAsia="Times New Roman" w:hAnsi="helvLght"/>
      <w:b/>
      <w:bCs/>
      <w:color w:val="444444"/>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242"/>
    <w:pPr>
      <w:ind w:left="720"/>
    </w:pPr>
  </w:style>
  <w:style w:type="character" w:styleId="Hyperlink">
    <w:name w:val="Hyperlink"/>
    <w:basedOn w:val="DefaultParagraphFont"/>
    <w:uiPriority w:val="99"/>
    <w:unhideWhenUsed/>
    <w:rsid w:val="00B10B64"/>
    <w:rPr>
      <w:color w:val="0000FF" w:themeColor="hyperlink"/>
      <w:u w:val="single"/>
    </w:rPr>
  </w:style>
  <w:style w:type="character" w:customStyle="1" w:styleId="Heading3Char">
    <w:name w:val="Heading 3 Char"/>
    <w:basedOn w:val="DefaultParagraphFont"/>
    <w:link w:val="Heading3"/>
    <w:uiPriority w:val="9"/>
    <w:rsid w:val="00017086"/>
    <w:rPr>
      <w:rFonts w:ascii="helvLght" w:eastAsia="Times New Roman" w:hAnsi="helvLght" w:cs="Times New Roman"/>
      <w:b/>
      <w:bCs/>
      <w:color w:val="444444"/>
      <w:sz w:val="36"/>
      <w:szCs w:val="36"/>
      <w:lang w:eastAsia="en-AU"/>
    </w:rPr>
  </w:style>
  <w:style w:type="paragraph" w:styleId="NormalWeb">
    <w:name w:val="Normal (Web)"/>
    <w:basedOn w:val="Normal"/>
    <w:uiPriority w:val="99"/>
    <w:semiHidden/>
    <w:unhideWhenUsed/>
    <w:rsid w:val="00017086"/>
    <w:pPr>
      <w:spacing w:before="100" w:beforeAutospacing="1" w:after="100" w:afterAutospacing="1"/>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6869A8"/>
    <w:rPr>
      <w:sz w:val="16"/>
      <w:szCs w:val="16"/>
    </w:rPr>
  </w:style>
  <w:style w:type="paragraph" w:styleId="CommentText">
    <w:name w:val="annotation text"/>
    <w:basedOn w:val="Normal"/>
    <w:link w:val="CommentTextChar"/>
    <w:uiPriority w:val="99"/>
    <w:semiHidden/>
    <w:unhideWhenUsed/>
    <w:rsid w:val="006869A8"/>
    <w:rPr>
      <w:sz w:val="20"/>
      <w:szCs w:val="20"/>
    </w:rPr>
  </w:style>
  <w:style w:type="character" w:customStyle="1" w:styleId="CommentTextChar">
    <w:name w:val="Comment Text Char"/>
    <w:basedOn w:val="DefaultParagraphFont"/>
    <w:link w:val="CommentText"/>
    <w:uiPriority w:val="99"/>
    <w:semiHidden/>
    <w:rsid w:val="006869A8"/>
    <w:rPr>
      <w:rFonts w:ascii="Calibri" w:hAnsi="Calibri"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6869A8"/>
    <w:rPr>
      <w:b/>
      <w:bCs/>
    </w:rPr>
  </w:style>
  <w:style w:type="character" w:customStyle="1" w:styleId="CommentSubjectChar">
    <w:name w:val="Comment Subject Char"/>
    <w:basedOn w:val="CommentTextChar"/>
    <w:link w:val="CommentSubject"/>
    <w:uiPriority w:val="99"/>
    <w:semiHidden/>
    <w:rsid w:val="006869A8"/>
    <w:rPr>
      <w:b/>
      <w:bCs/>
    </w:rPr>
  </w:style>
  <w:style w:type="paragraph" w:styleId="BalloonText">
    <w:name w:val="Balloon Text"/>
    <w:basedOn w:val="Normal"/>
    <w:link w:val="BalloonTextChar"/>
    <w:uiPriority w:val="99"/>
    <w:semiHidden/>
    <w:unhideWhenUsed/>
    <w:rsid w:val="006869A8"/>
    <w:rPr>
      <w:rFonts w:ascii="Tahoma" w:hAnsi="Tahoma" w:cs="Tahoma"/>
      <w:sz w:val="16"/>
      <w:szCs w:val="16"/>
    </w:rPr>
  </w:style>
  <w:style w:type="character" w:customStyle="1" w:styleId="BalloonTextChar">
    <w:name w:val="Balloon Text Char"/>
    <w:basedOn w:val="DefaultParagraphFont"/>
    <w:link w:val="BalloonText"/>
    <w:uiPriority w:val="99"/>
    <w:semiHidden/>
    <w:rsid w:val="006869A8"/>
    <w:rPr>
      <w:rFonts w:ascii="Tahoma" w:hAnsi="Tahoma" w:cs="Tahoma"/>
      <w:sz w:val="16"/>
      <w:szCs w:val="16"/>
      <w:lang w:eastAsia="en-AU"/>
    </w:rPr>
  </w:style>
  <w:style w:type="character" w:styleId="FollowedHyperlink">
    <w:name w:val="FollowedHyperlink"/>
    <w:basedOn w:val="DefaultParagraphFont"/>
    <w:uiPriority w:val="99"/>
    <w:semiHidden/>
    <w:unhideWhenUsed/>
    <w:rsid w:val="006869A8"/>
    <w:rPr>
      <w:color w:val="800080" w:themeColor="followedHyperlink"/>
      <w:u w:val="single"/>
    </w:rPr>
  </w:style>
  <w:style w:type="character" w:customStyle="1" w:styleId="oinw-text">
    <w:name w:val="oinw-text"/>
    <w:basedOn w:val="DefaultParagraphFont"/>
    <w:rsid w:val="00222714"/>
  </w:style>
</w:styles>
</file>

<file path=word/webSettings.xml><?xml version="1.0" encoding="utf-8"?>
<w:webSettings xmlns:r="http://schemas.openxmlformats.org/officeDocument/2006/relationships" xmlns:w="http://schemas.openxmlformats.org/wordprocessingml/2006/main">
  <w:divs>
    <w:div w:id="525288643">
      <w:bodyDiv w:val="1"/>
      <w:marLeft w:val="0"/>
      <w:marRight w:val="0"/>
      <w:marTop w:val="0"/>
      <w:marBottom w:val="0"/>
      <w:divBdr>
        <w:top w:val="none" w:sz="0" w:space="0" w:color="auto"/>
        <w:left w:val="none" w:sz="0" w:space="0" w:color="auto"/>
        <w:bottom w:val="none" w:sz="0" w:space="0" w:color="auto"/>
        <w:right w:val="none" w:sz="0" w:space="0" w:color="auto"/>
      </w:divBdr>
      <w:divsChild>
        <w:div w:id="1803962220">
          <w:marLeft w:val="0"/>
          <w:marRight w:val="0"/>
          <w:marTop w:val="0"/>
          <w:marBottom w:val="0"/>
          <w:divBdr>
            <w:top w:val="none" w:sz="0" w:space="0" w:color="auto"/>
            <w:left w:val="none" w:sz="0" w:space="0" w:color="auto"/>
            <w:bottom w:val="none" w:sz="0" w:space="0" w:color="auto"/>
            <w:right w:val="none" w:sz="0" w:space="0" w:color="auto"/>
          </w:divBdr>
          <w:divsChild>
            <w:div w:id="889997810">
              <w:marLeft w:val="0"/>
              <w:marRight w:val="0"/>
              <w:marTop w:val="0"/>
              <w:marBottom w:val="0"/>
              <w:divBdr>
                <w:top w:val="none" w:sz="0" w:space="0" w:color="auto"/>
                <w:left w:val="none" w:sz="0" w:space="0" w:color="auto"/>
                <w:bottom w:val="none" w:sz="0" w:space="0" w:color="auto"/>
                <w:right w:val="none" w:sz="0" w:space="0" w:color="auto"/>
              </w:divBdr>
              <w:divsChild>
                <w:div w:id="813445668">
                  <w:marLeft w:val="0"/>
                  <w:marRight w:val="0"/>
                  <w:marTop w:val="0"/>
                  <w:marBottom w:val="0"/>
                  <w:divBdr>
                    <w:top w:val="none" w:sz="0" w:space="0" w:color="auto"/>
                    <w:left w:val="none" w:sz="0" w:space="0" w:color="auto"/>
                    <w:bottom w:val="none" w:sz="0" w:space="0" w:color="auto"/>
                    <w:right w:val="none" w:sz="0" w:space="0" w:color="auto"/>
                  </w:divBdr>
                  <w:divsChild>
                    <w:div w:id="155999413">
                      <w:marLeft w:val="0"/>
                      <w:marRight w:val="0"/>
                      <w:marTop w:val="0"/>
                      <w:marBottom w:val="0"/>
                      <w:divBdr>
                        <w:top w:val="none" w:sz="0" w:space="0" w:color="auto"/>
                        <w:left w:val="none" w:sz="0" w:space="0" w:color="auto"/>
                        <w:bottom w:val="none" w:sz="0" w:space="0" w:color="auto"/>
                        <w:right w:val="none" w:sz="0" w:space="0" w:color="auto"/>
                      </w:divBdr>
                      <w:divsChild>
                        <w:div w:id="286745697">
                          <w:marLeft w:val="360"/>
                          <w:marRight w:val="0"/>
                          <w:marTop w:val="0"/>
                          <w:marBottom w:val="0"/>
                          <w:divBdr>
                            <w:top w:val="none" w:sz="0" w:space="0" w:color="auto"/>
                            <w:left w:val="none" w:sz="0" w:space="0" w:color="auto"/>
                            <w:bottom w:val="none" w:sz="0" w:space="0" w:color="auto"/>
                            <w:right w:val="none" w:sz="0" w:space="0" w:color="auto"/>
                          </w:divBdr>
                          <w:divsChild>
                            <w:div w:id="1870529700">
                              <w:marLeft w:val="0"/>
                              <w:marRight w:val="0"/>
                              <w:marTop w:val="0"/>
                              <w:marBottom w:val="0"/>
                              <w:divBdr>
                                <w:top w:val="none" w:sz="0" w:space="0" w:color="auto"/>
                                <w:left w:val="none" w:sz="0" w:space="0" w:color="auto"/>
                                <w:bottom w:val="none" w:sz="0" w:space="0" w:color="auto"/>
                                <w:right w:val="none" w:sz="0" w:space="0" w:color="auto"/>
                              </w:divBdr>
                              <w:divsChild>
                                <w:div w:id="1853101477">
                                  <w:marLeft w:val="0"/>
                                  <w:marRight w:val="0"/>
                                  <w:marTop w:val="0"/>
                                  <w:marBottom w:val="0"/>
                                  <w:divBdr>
                                    <w:top w:val="none" w:sz="0" w:space="0" w:color="auto"/>
                                    <w:left w:val="none" w:sz="0" w:space="0" w:color="auto"/>
                                    <w:bottom w:val="none" w:sz="0" w:space="0" w:color="auto"/>
                                    <w:right w:val="none" w:sz="0" w:space="0" w:color="auto"/>
                                  </w:divBdr>
                                  <w:divsChild>
                                    <w:div w:id="163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8664609">
      <w:bodyDiv w:val="1"/>
      <w:marLeft w:val="0"/>
      <w:marRight w:val="0"/>
      <w:marTop w:val="0"/>
      <w:marBottom w:val="0"/>
      <w:divBdr>
        <w:top w:val="none" w:sz="0" w:space="0" w:color="auto"/>
        <w:left w:val="none" w:sz="0" w:space="0" w:color="auto"/>
        <w:bottom w:val="none" w:sz="0" w:space="0" w:color="auto"/>
        <w:right w:val="none" w:sz="0" w:space="0" w:color="auto"/>
      </w:divBdr>
      <w:divsChild>
        <w:div w:id="371005516">
          <w:marLeft w:val="0"/>
          <w:marRight w:val="0"/>
          <w:marTop w:val="0"/>
          <w:marBottom w:val="0"/>
          <w:divBdr>
            <w:top w:val="none" w:sz="0" w:space="0" w:color="auto"/>
            <w:left w:val="none" w:sz="0" w:space="0" w:color="auto"/>
            <w:bottom w:val="none" w:sz="0" w:space="0" w:color="auto"/>
            <w:right w:val="none" w:sz="0" w:space="0" w:color="auto"/>
          </w:divBdr>
          <w:divsChild>
            <w:div w:id="817772118">
              <w:marLeft w:val="0"/>
              <w:marRight w:val="0"/>
              <w:marTop w:val="0"/>
              <w:marBottom w:val="0"/>
              <w:divBdr>
                <w:top w:val="none" w:sz="0" w:space="0" w:color="auto"/>
                <w:left w:val="none" w:sz="0" w:space="0" w:color="auto"/>
                <w:bottom w:val="none" w:sz="0" w:space="0" w:color="auto"/>
                <w:right w:val="none" w:sz="0" w:space="0" w:color="auto"/>
              </w:divBdr>
              <w:divsChild>
                <w:div w:id="953557449">
                  <w:marLeft w:val="0"/>
                  <w:marRight w:val="0"/>
                  <w:marTop w:val="0"/>
                  <w:marBottom w:val="0"/>
                  <w:divBdr>
                    <w:top w:val="none" w:sz="0" w:space="0" w:color="auto"/>
                    <w:left w:val="none" w:sz="0" w:space="0" w:color="auto"/>
                    <w:bottom w:val="none" w:sz="0" w:space="0" w:color="auto"/>
                    <w:right w:val="none" w:sz="0" w:space="0" w:color="auto"/>
                  </w:divBdr>
                  <w:divsChild>
                    <w:div w:id="867178232">
                      <w:marLeft w:val="0"/>
                      <w:marRight w:val="0"/>
                      <w:marTop w:val="0"/>
                      <w:marBottom w:val="0"/>
                      <w:divBdr>
                        <w:top w:val="none" w:sz="0" w:space="0" w:color="auto"/>
                        <w:left w:val="none" w:sz="0" w:space="0" w:color="auto"/>
                        <w:bottom w:val="none" w:sz="0" w:space="0" w:color="auto"/>
                        <w:right w:val="none" w:sz="0" w:space="0" w:color="auto"/>
                      </w:divBdr>
                      <w:divsChild>
                        <w:div w:id="2102296573">
                          <w:marLeft w:val="360"/>
                          <w:marRight w:val="0"/>
                          <w:marTop w:val="0"/>
                          <w:marBottom w:val="0"/>
                          <w:divBdr>
                            <w:top w:val="none" w:sz="0" w:space="0" w:color="auto"/>
                            <w:left w:val="none" w:sz="0" w:space="0" w:color="auto"/>
                            <w:bottom w:val="none" w:sz="0" w:space="0" w:color="auto"/>
                            <w:right w:val="none" w:sz="0" w:space="0" w:color="auto"/>
                          </w:divBdr>
                          <w:divsChild>
                            <w:div w:id="1701012870">
                              <w:marLeft w:val="0"/>
                              <w:marRight w:val="0"/>
                              <w:marTop w:val="0"/>
                              <w:marBottom w:val="0"/>
                              <w:divBdr>
                                <w:top w:val="none" w:sz="0" w:space="0" w:color="auto"/>
                                <w:left w:val="none" w:sz="0" w:space="0" w:color="auto"/>
                                <w:bottom w:val="none" w:sz="0" w:space="0" w:color="auto"/>
                                <w:right w:val="none" w:sz="0" w:space="0" w:color="auto"/>
                              </w:divBdr>
                              <w:divsChild>
                                <w:div w:id="747503725">
                                  <w:marLeft w:val="0"/>
                                  <w:marRight w:val="0"/>
                                  <w:marTop w:val="0"/>
                                  <w:marBottom w:val="0"/>
                                  <w:divBdr>
                                    <w:top w:val="none" w:sz="0" w:space="0" w:color="auto"/>
                                    <w:left w:val="none" w:sz="0" w:space="0" w:color="auto"/>
                                    <w:bottom w:val="none" w:sz="0" w:space="0" w:color="auto"/>
                                    <w:right w:val="none" w:sz="0" w:space="0" w:color="auto"/>
                                  </w:divBdr>
                                  <w:divsChild>
                                    <w:div w:id="44709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7560871">
      <w:bodyDiv w:val="1"/>
      <w:marLeft w:val="0"/>
      <w:marRight w:val="0"/>
      <w:marTop w:val="0"/>
      <w:marBottom w:val="0"/>
      <w:divBdr>
        <w:top w:val="none" w:sz="0" w:space="0" w:color="auto"/>
        <w:left w:val="none" w:sz="0" w:space="0" w:color="auto"/>
        <w:bottom w:val="none" w:sz="0" w:space="0" w:color="auto"/>
        <w:right w:val="none" w:sz="0" w:space="0" w:color="auto"/>
      </w:divBdr>
    </w:div>
    <w:div w:id="1382753707">
      <w:bodyDiv w:val="1"/>
      <w:marLeft w:val="0"/>
      <w:marRight w:val="0"/>
      <w:marTop w:val="0"/>
      <w:marBottom w:val="0"/>
      <w:divBdr>
        <w:top w:val="none" w:sz="0" w:space="0" w:color="auto"/>
        <w:left w:val="none" w:sz="0" w:space="0" w:color="auto"/>
        <w:bottom w:val="none" w:sz="0" w:space="0" w:color="auto"/>
        <w:right w:val="none" w:sz="0" w:space="0" w:color="auto"/>
      </w:divBdr>
      <w:divsChild>
        <w:div w:id="1986350358">
          <w:marLeft w:val="0"/>
          <w:marRight w:val="0"/>
          <w:marTop w:val="120"/>
          <w:marBottom w:val="240"/>
          <w:divBdr>
            <w:top w:val="single" w:sz="4" w:space="7" w:color="DFE1E2"/>
            <w:left w:val="single" w:sz="4" w:space="7" w:color="DFE1E2"/>
            <w:bottom w:val="single" w:sz="4" w:space="7" w:color="DFE1E2"/>
            <w:right w:val="single" w:sz="4" w:space="7" w:color="DFE1E2"/>
          </w:divBdr>
          <w:divsChild>
            <w:div w:id="1358655392">
              <w:marLeft w:val="0"/>
              <w:marRight w:val="0"/>
              <w:marTop w:val="192"/>
              <w:marBottom w:val="0"/>
              <w:divBdr>
                <w:top w:val="none" w:sz="0" w:space="0" w:color="auto"/>
                <w:left w:val="none" w:sz="0" w:space="0" w:color="auto"/>
                <w:bottom w:val="none" w:sz="0" w:space="0" w:color="auto"/>
                <w:right w:val="none" w:sz="0" w:space="0" w:color="auto"/>
              </w:divBdr>
              <w:divsChild>
                <w:div w:id="601568021">
                  <w:marLeft w:val="0"/>
                  <w:marRight w:val="0"/>
                  <w:marTop w:val="0"/>
                  <w:marBottom w:val="0"/>
                  <w:divBdr>
                    <w:top w:val="none" w:sz="0" w:space="0" w:color="auto"/>
                    <w:left w:val="none" w:sz="0" w:space="0" w:color="auto"/>
                    <w:bottom w:val="none" w:sz="0" w:space="0" w:color="auto"/>
                    <w:right w:val="none" w:sz="0" w:space="0" w:color="auto"/>
                  </w:divBdr>
                  <w:divsChild>
                    <w:div w:id="812871388">
                      <w:marLeft w:val="0"/>
                      <w:marRight w:val="0"/>
                      <w:marTop w:val="0"/>
                      <w:marBottom w:val="0"/>
                      <w:divBdr>
                        <w:top w:val="none" w:sz="0" w:space="0" w:color="auto"/>
                        <w:left w:val="none" w:sz="0" w:space="0" w:color="auto"/>
                        <w:bottom w:val="none" w:sz="0" w:space="0" w:color="auto"/>
                        <w:right w:val="none" w:sz="0" w:space="0" w:color="auto"/>
                      </w:divBdr>
                      <w:divsChild>
                        <w:div w:id="851064510">
                          <w:marLeft w:val="0"/>
                          <w:marRight w:val="0"/>
                          <w:marTop w:val="0"/>
                          <w:marBottom w:val="0"/>
                          <w:divBdr>
                            <w:top w:val="none" w:sz="0" w:space="0" w:color="auto"/>
                            <w:left w:val="none" w:sz="0" w:space="0" w:color="auto"/>
                            <w:bottom w:val="none" w:sz="0" w:space="0" w:color="auto"/>
                            <w:right w:val="none" w:sz="0" w:space="0" w:color="auto"/>
                          </w:divBdr>
                          <w:divsChild>
                            <w:div w:id="1123883278">
                              <w:marLeft w:val="0"/>
                              <w:marRight w:val="0"/>
                              <w:marTop w:val="0"/>
                              <w:marBottom w:val="0"/>
                              <w:divBdr>
                                <w:top w:val="none" w:sz="0" w:space="0" w:color="auto"/>
                                <w:left w:val="none" w:sz="0" w:space="0" w:color="auto"/>
                                <w:bottom w:val="none" w:sz="0" w:space="0" w:color="auto"/>
                                <w:right w:val="none" w:sz="0" w:space="0" w:color="auto"/>
                              </w:divBdr>
                              <w:divsChild>
                                <w:div w:id="1030763956">
                                  <w:marLeft w:val="0"/>
                                  <w:marRight w:val="0"/>
                                  <w:marTop w:val="0"/>
                                  <w:marBottom w:val="0"/>
                                  <w:divBdr>
                                    <w:top w:val="none" w:sz="0" w:space="0" w:color="auto"/>
                                    <w:left w:val="none" w:sz="0" w:space="0" w:color="auto"/>
                                    <w:bottom w:val="none" w:sz="0" w:space="0" w:color="auto"/>
                                    <w:right w:val="none" w:sz="0" w:space="0" w:color="auto"/>
                                  </w:divBdr>
                                  <w:divsChild>
                                    <w:div w:id="147137223">
                                      <w:marLeft w:val="0"/>
                                      <w:marRight w:val="0"/>
                                      <w:marTop w:val="0"/>
                                      <w:marBottom w:val="0"/>
                                      <w:divBdr>
                                        <w:top w:val="none" w:sz="0" w:space="0" w:color="auto"/>
                                        <w:left w:val="none" w:sz="0" w:space="0" w:color="auto"/>
                                        <w:bottom w:val="none" w:sz="0" w:space="0" w:color="auto"/>
                                        <w:right w:val="none" w:sz="0" w:space="0" w:color="auto"/>
                                      </w:divBdr>
                                      <w:divsChild>
                                        <w:div w:id="6199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12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mrc.gov.au/_files_nhmrc/publications/attachments/r39.pdf" TargetMode="External"/><Relationship Id="rId13" Type="http://schemas.openxmlformats.org/officeDocument/2006/relationships/hyperlink" Target="http://policies.uws.edu.au/view.current.php?id=00166" TargetMode="External"/><Relationship Id="rId3" Type="http://schemas.openxmlformats.org/officeDocument/2006/relationships/settings" Target="settings.xml"/><Relationship Id="rId7" Type="http://schemas.openxmlformats.org/officeDocument/2006/relationships/hyperlink" Target="http://www.singaporestatement.org/" TargetMode="Externa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hmrc.gov.au/guidelines/publications/ea28"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hmrc.gov.au/_files_nhmrc/publications/attachments/ea28_code_care_use_animals_131209.pdf" TargetMode="External"/><Relationship Id="rId4" Type="http://schemas.openxmlformats.org/officeDocument/2006/relationships/webSettings" Target="webSettings.xml"/><Relationship Id="rId9" Type="http://schemas.openxmlformats.org/officeDocument/2006/relationships/hyperlink" Target="https://www.nhmrc.gov.au/_files_nhmrc/publications/attachments/e72_national_statement_march_2014_140331.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4120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H8848945</dc:creator>
  <cp:lastModifiedBy>H8848945</cp:lastModifiedBy>
  <cp:revision>2</cp:revision>
  <cp:lastPrinted>2014-06-25T23:18:00Z</cp:lastPrinted>
  <dcterms:created xsi:type="dcterms:W3CDTF">2014-10-07T23:48:00Z</dcterms:created>
  <dcterms:modified xsi:type="dcterms:W3CDTF">2014-10-07T23:48:00Z</dcterms:modified>
</cp:coreProperties>
</file>